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426" w:leftChars="-133" w:firstLine="489" w:firstLineChars="153"/>
        <w:textAlignment w:val="auto"/>
        <w:outlineLvl w:val="9"/>
        <w:rPr>
          <w:color w:val="000000" w:themeColor="text1"/>
          <w14:textFill>
            <w14:solidFill>
              <w14:schemeClr w14:val="tx1"/>
            </w14:solidFill>
          </w14:textFill>
        </w:rPr>
      </w:pPr>
      <w:r>
        <w:rPr>
          <w:rFonts w:ascii="黑体" w:eastAsia="黑体"/>
          <w:color w:val="000000" w:themeColor="text1"/>
          <w14:textFill>
            <w14:solidFill>
              <w14:schemeClr w14:val="tx1"/>
            </w14:solidFill>
          </w14:textFill>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firstLine="0"/>
        <w:jc w:val="center"/>
        <w:textAlignment w:val="auto"/>
        <w:outlineLvl w:val="9"/>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省级挂牌督办安全</w:t>
      </w:r>
      <w:r>
        <w:rPr>
          <w:rFonts w:hint="eastAsia" w:ascii="方正小标宋简体" w:eastAsia="方正小标宋简体"/>
          <w:color w:val="000000" w:themeColor="text1"/>
          <w:sz w:val="44"/>
          <w:szCs w:val="44"/>
          <w:lang w:eastAsia="zh-CN"/>
          <w14:textFill>
            <w14:solidFill>
              <w14:schemeClr w14:val="tx1"/>
            </w14:solidFill>
          </w14:textFill>
        </w:rPr>
        <w:t>生产</w:t>
      </w:r>
      <w:r>
        <w:rPr>
          <w:rFonts w:hint="eastAsia" w:ascii="方正小标宋简体" w:eastAsia="方正小标宋简体"/>
          <w:color w:val="000000" w:themeColor="text1"/>
          <w:sz w:val="44"/>
          <w:szCs w:val="44"/>
          <w14:textFill>
            <w14:solidFill>
              <w14:schemeClr w14:val="tx1"/>
            </w14:solidFill>
          </w14:textFill>
        </w:rPr>
        <w:t>重大</w:t>
      </w:r>
      <w:r>
        <w:rPr>
          <w:rFonts w:hint="eastAsia" w:ascii="方正小标宋简体" w:eastAsia="方正小标宋简体"/>
          <w:color w:val="000000" w:themeColor="text1"/>
          <w:sz w:val="44"/>
          <w:szCs w:val="44"/>
          <w:lang w:val="en-US" w:eastAsia="zh-CN"/>
          <w14:textFill>
            <w14:solidFill>
              <w14:schemeClr w14:val="tx1"/>
            </w14:solidFill>
          </w14:textFill>
        </w:rPr>
        <w:t>事故</w:t>
      </w:r>
      <w:r>
        <w:rPr>
          <w:rFonts w:hint="eastAsia" w:ascii="方正小标宋简体" w:eastAsia="方正小标宋简体"/>
          <w:color w:val="000000" w:themeColor="text1"/>
          <w:sz w:val="44"/>
          <w:szCs w:val="44"/>
          <w14:textFill>
            <w14:solidFill>
              <w14:schemeClr w14:val="tx1"/>
            </w14:solidFill>
          </w14:textFill>
        </w:rPr>
        <w:t>隐患销号明细表</w:t>
      </w:r>
    </w:p>
    <w:tbl>
      <w:tblPr>
        <w:tblStyle w:val="6"/>
        <w:tblW w:w="15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50"/>
        <w:gridCol w:w="720"/>
        <w:gridCol w:w="4993"/>
        <w:gridCol w:w="1484"/>
        <w:gridCol w:w="1170"/>
        <w:gridCol w:w="1590"/>
        <w:gridCol w:w="132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tblHeader/>
          <w:jc w:val="center"/>
        </w:trPr>
        <w:tc>
          <w:tcPr>
            <w:tcW w:w="7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themeColor="text1"/>
                <w:kern w:val="0"/>
                <w:sz w:val="24"/>
                <w:szCs w:val="24"/>
                <w:highlight w:val="none"/>
                <w:lang w:eastAsia="zh-CN"/>
                <w14:textFill>
                  <w14:solidFill>
                    <w14:schemeClr w14:val="tx1"/>
                  </w14:solidFill>
                </w14:textFill>
              </w:rPr>
            </w:pPr>
            <w:r>
              <w:rPr>
                <w:rFonts w:hint="eastAsia" w:ascii="黑体" w:eastAsia="黑体" w:cs="黑体"/>
                <w:b w:val="0"/>
                <w:bCs/>
                <w:color w:val="000000" w:themeColor="text1"/>
                <w:kern w:val="0"/>
                <w:sz w:val="24"/>
                <w:szCs w:val="24"/>
                <w:highlight w:val="none"/>
                <w:lang w:eastAsia="zh-CN"/>
                <w14:textFill>
                  <w14:solidFill>
                    <w14:schemeClr w14:val="tx1"/>
                  </w14:solidFill>
                </w14:textFill>
              </w:rPr>
              <w:t>序号</w:t>
            </w:r>
          </w:p>
        </w:tc>
        <w:tc>
          <w:tcPr>
            <w:tcW w:w="195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themeColor="text1"/>
                <w:kern w:val="0"/>
                <w:sz w:val="24"/>
                <w:szCs w:val="24"/>
                <w:highlight w:val="none"/>
                <w14:textFill>
                  <w14:solidFill>
                    <w14:schemeClr w14:val="tx1"/>
                  </w14:solidFill>
                </w14:textFill>
              </w:rPr>
            </w:pPr>
            <w:r>
              <w:rPr>
                <w:rFonts w:hint="eastAsia" w:ascii="黑体" w:eastAsia="黑体" w:cs="黑体"/>
                <w:b w:val="0"/>
                <w:bCs/>
                <w:color w:val="000000" w:themeColor="text1"/>
                <w:kern w:val="0"/>
                <w:sz w:val="24"/>
                <w:szCs w:val="24"/>
                <w:highlight w:val="none"/>
                <w14:textFill>
                  <w14:solidFill>
                    <w14:schemeClr w14:val="tx1"/>
                  </w14:solidFill>
                </w14:textFill>
              </w:rPr>
              <w:t>隐患名称</w:t>
            </w:r>
          </w:p>
        </w:tc>
        <w:tc>
          <w:tcPr>
            <w:tcW w:w="7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themeColor="text1"/>
                <w:kern w:val="0"/>
                <w:sz w:val="24"/>
                <w:szCs w:val="24"/>
                <w:highlight w:val="none"/>
                <w14:textFill>
                  <w14:solidFill>
                    <w14:schemeClr w14:val="tx1"/>
                  </w14:solidFill>
                </w14:textFill>
              </w:rPr>
            </w:pPr>
            <w:r>
              <w:rPr>
                <w:rFonts w:hint="eastAsia" w:ascii="黑体" w:eastAsia="黑体" w:cs="黑体"/>
                <w:b w:val="0"/>
                <w:bCs/>
                <w:color w:val="000000" w:themeColor="text1"/>
                <w:kern w:val="0"/>
                <w:sz w:val="24"/>
                <w:szCs w:val="24"/>
                <w:highlight w:val="none"/>
                <w14:textFill>
                  <w14:solidFill>
                    <w14:schemeClr w14:val="tx1"/>
                  </w14:solidFill>
                </w14:textFill>
              </w:rPr>
              <w:t>行业</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themeColor="text1"/>
                <w:kern w:val="0"/>
                <w:sz w:val="24"/>
                <w:szCs w:val="24"/>
                <w:highlight w:val="none"/>
                <w14:textFill>
                  <w14:solidFill>
                    <w14:schemeClr w14:val="tx1"/>
                  </w14:solidFill>
                </w14:textFill>
              </w:rPr>
            </w:pPr>
            <w:r>
              <w:rPr>
                <w:rFonts w:hint="eastAsia" w:ascii="黑体" w:eastAsia="黑体" w:cs="黑体"/>
                <w:b w:val="0"/>
                <w:bCs/>
                <w:color w:val="000000" w:themeColor="text1"/>
                <w:kern w:val="0"/>
                <w:sz w:val="24"/>
                <w:szCs w:val="24"/>
                <w:highlight w:val="none"/>
                <w14:textFill>
                  <w14:solidFill>
                    <w14:schemeClr w14:val="tx1"/>
                  </w14:solidFill>
                </w14:textFill>
              </w:rPr>
              <w:t>分类</w:t>
            </w:r>
          </w:p>
        </w:tc>
        <w:tc>
          <w:tcPr>
            <w:tcW w:w="4993"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themeColor="text1"/>
                <w:kern w:val="0"/>
                <w:sz w:val="24"/>
                <w:szCs w:val="24"/>
                <w:highlight w:val="none"/>
                <w14:textFill>
                  <w14:solidFill>
                    <w14:schemeClr w14:val="tx1"/>
                  </w14:solidFill>
                </w14:textFill>
              </w:rPr>
            </w:pPr>
            <w:r>
              <w:rPr>
                <w:rFonts w:hint="eastAsia" w:ascii="黑体" w:eastAsia="黑体" w:cs="黑体"/>
                <w:b w:val="0"/>
                <w:bCs/>
                <w:color w:val="000000" w:themeColor="text1"/>
                <w:kern w:val="0"/>
                <w:sz w:val="24"/>
                <w:szCs w:val="24"/>
                <w:highlight w:val="none"/>
                <w14:textFill>
                  <w14:solidFill>
                    <w14:schemeClr w14:val="tx1"/>
                  </w14:solidFill>
                </w14:textFill>
              </w:rPr>
              <w:t>隐患基本情况</w:t>
            </w:r>
          </w:p>
        </w:tc>
        <w:tc>
          <w:tcPr>
            <w:tcW w:w="1484"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themeColor="text1"/>
                <w:kern w:val="0"/>
                <w:sz w:val="24"/>
                <w:szCs w:val="24"/>
                <w:highlight w:val="none"/>
                <w14:textFill>
                  <w14:solidFill>
                    <w14:schemeClr w14:val="tx1"/>
                  </w14:solidFill>
                </w14:textFill>
              </w:rPr>
            </w:pPr>
            <w:r>
              <w:rPr>
                <w:rFonts w:hint="eastAsia" w:ascii="黑体" w:eastAsia="黑体" w:cs="黑体"/>
                <w:b w:val="0"/>
                <w:bCs/>
                <w:color w:val="000000" w:themeColor="text1"/>
                <w:kern w:val="0"/>
                <w:sz w:val="24"/>
                <w:szCs w:val="24"/>
                <w:highlight w:val="none"/>
                <w14:textFill>
                  <w14:solidFill>
                    <w14:schemeClr w14:val="tx1"/>
                  </w14:solidFill>
                </w14:textFill>
              </w:rPr>
              <w:t>治理责任单位</w:t>
            </w:r>
          </w:p>
        </w:tc>
        <w:tc>
          <w:tcPr>
            <w:tcW w:w="117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themeColor="text1"/>
                <w:kern w:val="0"/>
                <w:sz w:val="24"/>
                <w:szCs w:val="24"/>
                <w:highlight w:val="none"/>
                <w14:textFill>
                  <w14:solidFill>
                    <w14:schemeClr w14:val="tx1"/>
                  </w14:solidFill>
                </w14:textFill>
              </w:rPr>
            </w:pPr>
            <w:r>
              <w:rPr>
                <w:rFonts w:hint="eastAsia" w:ascii="黑体" w:eastAsia="黑体" w:cs="黑体"/>
                <w:b w:val="0"/>
                <w:bCs/>
                <w:color w:val="000000" w:themeColor="text1"/>
                <w:kern w:val="0"/>
                <w:sz w:val="24"/>
                <w:szCs w:val="24"/>
                <w:highlight w:val="none"/>
                <w14:textFill>
                  <w14:solidFill>
                    <w14:schemeClr w14:val="tx1"/>
                  </w14:solidFill>
                </w14:textFill>
              </w:rPr>
              <w:t>属地监管</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themeColor="text1"/>
                <w:kern w:val="0"/>
                <w:sz w:val="24"/>
                <w:szCs w:val="24"/>
                <w:highlight w:val="none"/>
                <w14:textFill>
                  <w14:solidFill>
                    <w14:schemeClr w14:val="tx1"/>
                  </w14:solidFill>
                </w14:textFill>
              </w:rPr>
            </w:pPr>
            <w:r>
              <w:rPr>
                <w:rFonts w:hint="eastAsia" w:ascii="黑体" w:eastAsia="黑体" w:cs="黑体"/>
                <w:b w:val="0"/>
                <w:bCs/>
                <w:color w:val="000000" w:themeColor="text1"/>
                <w:kern w:val="0"/>
                <w:sz w:val="24"/>
                <w:szCs w:val="24"/>
                <w:highlight w:val="none"/>
                <w14:textFill>
                  <w14:solidFill>
                    <w14:schemeClr w14:val="tx1"/>
                  </w14:solidFill>
                </w14:textFill>
              </w:rPr>
              <w:t>责任单位</w:t>
            </w:r>
          </w:p>
        </w:tc>
        <w:tc>
          <w:tcPr>
            <w:tcW w:w="159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themeColor="text1"/>
                <w:kern w:val="0"/>
                <w:sz w:val="24"/>
                <w:szCs w:val="24"/>
                <w:highlight w:val="none"/>
                <w14:textFill>
                  <w14:solidFill>
                    <w14:schemeClr w14:val="tx1"/>
                  </w14:solidFill>
                </w14:textFill>
              </w:rPr>
            </w:pPr>
            <w:r>
              <w:rPr>
                <w:rFonts w:hint="eastAsia" w:ascii="黑体" w:eastAsia="黑体" w:cs="黑体"/>
                <w:b w:val="0"/>
                <w:bCs/>
                <w:color w:val="000000" w:themeColor="text1"/>
                <w:kern w:val="0"/>
                <w:sz w:val="24"/>
                <w:szCs w:val="24"/>
                <w:highlight w:val="none"/>
                <w14:textFill>
                  <w14:solidFill>
                    <w14:schemeClr w14:val="tx1"/>
                  </w14:solidFill>
                </w14:textFill>
              </w:rPr>
              <w:t>行业督办单位</w:t>
            </w:r>
          </w:p>
        </w:tc>
        <w:tc>
          <w:tcPr>
            <w:tcW w:w="132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themeColor="text1"/>
                <w:kern w:val="0"/>
                <w:sz w:val="24"/>
                <w:szCs w:val="24"/>
                <w:highlight w:val="none"/>
                <w14:textFill>
                  <w14:solidFill>
                    <w14:schemeClr w14:val="tx1"/>
                  </w14:solidFill>
                </w14:textFill>
              </w:rPr>
            </w:pPr>
            <w:r>
              <w:rPr>
                <w:rFonts w:hint="eastAsia" w:ascii="黑体" w:eastAsia="黑体" w:cs="黑体"/>
                <w:b w:val="0"/>
                <w:bCs/>
                <w:color w:val="000000" w:themeColor="text1"/>
                <w:kern w:val="0"/>
                <w:sz w:val="24"/>
                <w:szCs w:val="24"/>
                <w:highlight w:val="none"/>
                <w14:textFill>
                  <w14:solidFill>
                    <w14:schemeClr w14:val="tx1"/>
                  </w14:solidFill>
                </w14:textFill>
              </w:rPr>
              <w:t>整改时限</w:t>
            </w:r>
          </w:p>
        </w:tc>
        <w:tc>
          <w:tcPr>
            <w:tcW w:w="1157"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themeColor="text1"/>
                <w:kern w:val="0"/>
                <w:sz w:val="24"/>
                <w:szCs w:val="24"/>
                <w:highlight w:val="none"/>
                <w14:textFill>
                  <w14:solidFill>
                    <w14:schemeClr w14:val="tx1"/>
                  </w14:solidFill>
                </w14:textFill>
              </w:rPr>
            </w:pPr>
            <w:r>
              <w:rPr>
                <w:rFonts w:hint="eastAsia" w:ascii="黑体" w:eastAsia="黑体" w:cs="黑体"/>
                <w:b w:val="0"/>
                <w:bCs/>
                <w:color w:val="000000" w:themeColor="text1"/>
                <w:kern w:val="0"/>
                <w:sz w:val="24"/>
                <w:szCs w:val="24"/>
                <w:highlight w:val="none"/>
                <w14:textFill>
                  <w14:solidFill>
                    <w14:schemeClr w14:val="tx1"/>
                  </w14:solidFill>
                </w14:textFill>
              </w:rPr>
              <w:t>销号意见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1</w:t>
            </w:r>
          </w:p>
        </w:tc>
        <w:tc>
          <w:tcPr>
            <w:tcW w:w="195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瓶库区内未设置固定式可燃气体浓度报警装置安全隐患</w:t>
            </w:r>
          </w:p>
        </w:tc>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燃气</w:t>
            </w:r>
          </w:p>
        </w:tc>
        <w:tc>
          <w:tcPr>
            <w:tcW w:w="4993"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瓶库区内未设置固定式可燃气体浓度报警装置。【依据《城镇燃气经营安全重大隐患判定标准》第五条第五项规定。】</w:t>
            </w:r>
          </w:p>
        </w:tc>
        <w:tc>
          <w:tcPr>
            <w:tcW w:w="1484"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宝鸡市金汇丰石油有限公司</w:t>
            </w:r>
          </w:p>
        </w:tc>
        <w:tc>
          <w:tcPr>
            <w:tcW w:w="117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宝鸡市</w:t>
            </w:r>
          </w:p>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人民政府</w:t>
            </w:r>
          </w:p>
        </w:tc>
        <w:tc>
          <w:tcPr>
            <w:tcW w:w="159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省住房和城乡</w:t>
            </w:r>
          </w:p>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建设厅</w:t>
            </w:r>
          </w:p>
        </w:tc>
        <w:tc>
          <w:tcPr>
            <w:tcW w:w="132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2024年</w:t>
            </w:r>
          </w:p>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10月30日</w:t>
            </w:r>
          </w:p>
        </w:tc>
        <w:tc>
          <w:tcPr>
            <w:tcW w:w="1157"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5"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2</w:t>
            </w:r>
          </w:p>
        </w:tc>
        <w:tc>
          <w:tcPr>
            <w:tcW w:w="195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未有效执行特殊作业安全管理制度安全隐患</w:t>
            </w:r>
          </w:p>
        </w:tc>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燃气</w:t>
            </w:r>
          </w:p>
        </w:tc>
        <w:tc>
          <w:tcPr>
            <w:tcW w:w="4993"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特殊作业安全管理制度未有效执行，特殊作业票审批流于形式，未按照规定审批（主要负责人对动土作业未签字审批）。【依据《化工和危险化学品生产经营单位重大生产安全事故隐患判定标准》第18条未按照国家标准制定动火、进入受限空间、动土作业等特殊作业管理制度，或者制度未有效执行。】</w:t>
            </w:r>
          </w:p>
        </w:tc>
        <w:tc>
          <w:tcPr>
            <w:tcW w:w="1484"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咸阳市</w:t>
            </w:r>
          </w:p>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天然气总公司</w:t>
            </w:r>
          </w:p>
        </w:tc>
        <w:tc>
          <w:tcPr>
            <w:tcW w:w="117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咸阳市</w:t>
            </w:r>
          </w:p>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人民政府</w:t>
            </w:r>
          </w:p>
        </w:tc>
        <w:tc>
          <w:tcPr>
            <w:tcW w:w="159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省住房和城乡</w:t>
            </w:r>
          </w:p>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建设厅</w:t>
            </w:r>
          </w:p>
        </w:tc>
        <w:tc>
          <w:tcPr>
            <w:tcW w:w="132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2024年</w:t>
            </w:r>
          </w:p>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6月30日</w:t>
            </w:r>
          </w:p>
        </w:tc>
        <w:tc>
          <w:tcPr>
            <w:tcW w:w="1157"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4"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3</w:t>
            </w:r>
          </w:p>
        </w:tc>
        <w:tc>
          <w:tcPr>
            <w:tcW w:w="195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涉及可燃和有毒有害气体泄漏的场所未按国家标准设置检测报警装置安全隐患</w:t>
            </w:r>
          </w:p>
        </w:tc>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燃气</w:t>
            </w:r>
          </w:p>
        </w:tc>
        <w:tc>
          <w:tcPr>
            <w:tcW w:w="4993"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调压车间7个可燃报警器失效，无数据、无声光报警、未通电。【依据《化工和危险化学品生产经营单位重大生产安全事故隐患判定标准》第十二条涉及可燃和有毒有害气体泄漏的场所未按国家标准设置检测报警装置，爆炸危险场所未按国家标准安装使用防爆电气设备。】</w:t>
            </w:r>
          </w:p>
        </w:tc>
        <w:tc>
          <w:tcPr>
            <w:tcW w:w="1484"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咸阳市</w:t>
            </w:r>
          </w:p>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天然气总公司</w:t>
            </w:r>
          </w:p>
        </w:tc>
        <w:tc>
          <w:tcPr>
            <w:tcW w:w="117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咸阳市</w:t>
            </w:r>
          </w:p>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人民政府</w:t>
            </w:r>
          </w:p>
        </w:tc>
        <w:tc>
          <w:tcPr>
            <w:tcW w:w="159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省住房和城乡</w:t>
            </w:r>
          </w:p>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建设厅</w:t>
            </w:r>
          </w:p>
        </w:tc>
        <w:tc>
          <w:tcPr>
            <w:tcW w:w="132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2024年</w:t>
            </w:r>
          </w:p>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6月30日</w:t>
            </w:r>
          </w:p>
        </w:tc>
        <w:tc>
          <w:tcPr>
            <w:tcW w:w="1157"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4"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default"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4</w:t>
            </w:r>
          </w:p>
        </w:tc>
        <w:tc>
          <w:tcPr>
            <w:tcW w:w="195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特种作业人员无证上岗或证件失效安全隐患</w:t>
            </w:r>
          </w:p>
        </w:tc>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燃气</w:t>
            </w:r>
          </w:p>
        </w:tc>
        <w:tc>
          <w:tcPr>
            <w:tcW w:w="4993"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专职安全生产管理人员（董宵菲）未取得安全生产考核合格证书。党姚军持有的焊接与热切割作业证件没有在2023年8月9日进行复审；张小军持有的焊接与热切割作业证件没有在2023年1月18日进行复审，2024年3月份已经在该项目从业，2024年4月19日取得新证。</w:t>
            </w:r>
          </w:p>
        </w:tc>
        <w:tc>
          <w:tcPr>
            <w:tcW w:w="1484"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咸阳市</w:t>
            </w:r>
          </w:p>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天然气总公司</w:t>
            </w:r>
          </w:p>
        </w:tc>
        <w:tc>
          <w:tcPr>
            <w:tcW w:w="117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咸阳市</w:t>
            </w:r>
          </w:p>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人民政府</w:t>
            </w:r>
          </w:p>
        </w:tc>
        <w:tc>
          <w:tcPr>
            <w:tcW w:w="159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省住房和城乡</w:t>
            </w:r>
          </w:p>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建设厅</w:t>
            </w:r>
          </w:p>
        </w:tc>
        <w:tc>
          <w:tcPr>
            <w:tcW w:w="1320"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2024年</w:t>
            </w:r>
          </w:p>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6月30日</w:t>
            </w:r>
          </w:p>
        </w:tc>
        <w:tc>
          <w:tcPr>
            <w:tcW w:w="1157" w:type="dxa"/>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eastAsia="仿宋" w:cs="仿宋"/>
                <w:color w:val="000000" w:themeColor="text1"/>
                <w:kern w:val="2"/>
                <w:sz w:val="22"/>
                <w:szCs w:val="22"/>
                <w:highlight w:val="none"/>
                <w:lang w:val="en-US" w:eastAsia="zh-CN" w:bidi="ar-SA"/>
                <w14:textFill>
                  <w14:solidFill>
                    <w14:schemeClr w14:val="tx1"/>
                  </w14:solidFill>
                </w14:textFill>
              </w:rPr>
              <w:t>同意销号</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FBB48"/>
    <w:rsid w:val="04EEE7F3"/>
    <w:rsid w:val="59F7E35E"/>
    <w:rsid w:val="BFFFB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Char"/>
    <w:basedOn w:val="3"/>
    <w:next w:val="1"/>
    <w:qFormat/>
    <w:uiPriority w:val="0"/>
    <w:rPr>
      <w:rFonts w:ascii="Times New Roman" w:hAnsi="Times New Roman"/>
      <w:szCs w:val="20"/>
    </w:rPr>
  </w:style>
  <w:style w:type="paragraph" w:styleId="3">
    <w:name w:val="Document Map"/>
    <w:basedOn w:val="1"/>
    <w:next w:val="4"/>
    <w:qFormat/>
    <w:uiPriority w:val="0"/>
    <w:pPr>
      <w:shd w:val="clear" w:color="000000" w:fill="000080"/>
    </w:pPr>
  </w:style>
  <w:style w:type="paragraph" w:styleId="4">
    <w:name w:val="toc 5"/>
    <w:basedOn w:val="1"/>
    <w:next w:val="1"/>
    <w:qFormat/>
    <w:uiPriority w:val="0"/>
    <w:pPr>
      <w:ind w:left="1680"/>
    </w:pPr>
  </w:style>
  <w:style w:type="paragraph" w:styleId="5">
    <w:name w:val="footer"/>
    <w:basedOn w:val="1"/>
    <w:next w:val="1"/>
    <w:qFormat/>
    <w:uiPriority w:val="0"/>
    <w:pPr>
      <w:tabs>
        <w:tab w:val="center" w:pos="4153"/>
        <w:tab w:val="right" w:pos="8306"/>
      </w:tabs>
      <w:snapToGrid w:val="0"/>
      <w:jc w:val="left"/>
    </w:pPr>
    <w:rPr>
      <w:rFonts w:eastAsia="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Office_4.3.0.7280_F1E327BC-269C-435d-A152-05C5408002CA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2024-12-12T15:59:00Z</dcterms:created>
  <dc:creator>word科科～</dc:creator>
  <cp:lastModifiedBy>word科科～</cp:lastModifiedBy>
  <dcterms:modified xsi:type="dcterms:W3CDTF">2024-12-12T16:01:28Z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2052-4.3.0.7280</vt:lpwstr>
  </property>
  <property fmtid="{D5CDD505-2E9C-101B-9397-08002B2CF9AE}" pid="3" name="ICV">
    <vt:lpwstr>9288F7F7160BA59BCB975A676216AE2D</vt:lpwstr>
  </property>
</Properties>
</file>